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364AA" w14:textId="77777777" w:rsidR="00417FA9" w:rsidRDefault="00417FA9" w:rsidP="00AE7A8D">
      <w:pPr>
        <w:jc w:val="right"/>
        <w:rPr>
          <w:rFonts w:ascii="Arial" w:hAnsi="Arial" w:cs="Arial"/>
          <w:b/>
          <w:bCs/>
          <w:sz w:val="24"/>
          <w:szCs w:val="24"/>
        </w:rPr>
      </w:pPr>
    </w:p>
    <w:p w14:paraId="13A2C130" w14:textId="66AE3E7F" w:rsidR="00AE7A8D" w:rsidRDefault="00AE7A8D" w:rsidP="00AE7A8D">
      <w:pPr>
        <w:jc w:val="right"/>
        <w:rPr>
          <w:rFonts w:ascii="Arial" w:hAnsi="Arial" w:cs="Arial"/>
          <w:b/>
          <w:bCs/>
          <w:sz w:val="24"/>
          <w:szCs w:val="24"/>
        </w:rPr>
      </w:pPr>
      <w:r w:rsidRPr="00AE7A8D">
        <w:rPr>
          <w:rFonts w:ascii="Arial" w:hAnsi="Arial" w:cs="Arial"/>
          <w:b/>
          <w:bCs/>
          <w:sz w:val="24"/>
          <w:szCs w:val="24"/>
        </w:rPr>
        <w:t>0</w:t>
      </w:r>
      <w:r w:rsidR="001F6D23">
        <w:rPr>
          <w:rFonts w:ascii="Arial" w:hAnsi="Arial" w:cs="Arial"/>
          <w:b/>
          <w:bCs/>
          <w:sz w:val="24"/>
          <w:szCs w:val="24"/>
        </w:rPr>
        <w:t>3</w:t>
      </w:r>
      <w:bookmarkStart w:id="0" w:name="_GoBack"/>
      <w:bookmarkEnd w:id="0"/>
      <w:r w:rsidRPr="00AE7A8D">
        <w:rPr>
          <w:rFonts w:ascii="Arial" w:hAnsi="Arial" w:cs="Arial"/>
          <w:b/>
          <w:bCs/>
          <w:sz w:val="24"/>
          <w:szCs w:val="24"/>
        </w:rPr>
        <w:t xml:space="preserve"> Julio 2024</w:t>
      </w:r>
    </w:p>
    <w:p w14:paraId="76732E13" w14:textId="77777777" w:rsidR="00417FA9" w:rsidRDefault="00417FA9" w:rsidP="00AE7A8D">
      <w:pPr>
        <w:jc w:val="right"/>
        <w:rPr>
          <w:rFonts w:ascii="Arial" w:hAnsi="Arial" w:cs="Arial"/>
          <w:b/>
          <w:bCs/>
          <w:sz w:val="24"/>
          <w:szCs w:val="24"/>
        </w:rPr>
      </w:pPr>
    </w:p>
    <w:p w14:paraId="013345F8" w14:textId="77777777" w:rsidR="005B07CD" w:rsidRDefault="005B07CD" w:rsidP="005B07CD">
      <w:pPr>
        <w:rPr>
          <w:rFonts w:ascii="Arial" w:hAnsi="Arial" w:cs="Arial"/>
          <w:b/>
          <w:bCs/>
          <w:sz w:val="24"/>
          <w:szCs w:val="24"/>
          <w:u w:val="single"/>
        </w:rPr>
      </w:pPr>
      <w:r>
        <w:rPr>
          <w:rFonts w:ascii="Arial" w:hAnsi="Arial" w:cs="Arial"/>
          <w:b/>
          <w:bCs/>
          <w:sz w:val="24"/>
          <w:szCs w:val="24"/>
          <w:u w:val="single"/>
        </w:rPr>
        <w:t>Causas de extinción de una autorización de juego de un local de hostelería (A.I.L.) y duración de la misma.</w:t>
      </w:r>
    </w:p>
    <w:p w14:paraId="270FDADD" w14:textId="77777777" w:rsidR="005B07CD" w:rsidRDefault="005B07CD" w:rsidP="005B07CD">
      <w:pPr>
        <w:rPr>
          <w:rFonts w:ascii="Arial" w:hAnsi="Arial" w:cs="Arial"/>
          <w:sz w:val="24"/>
          <w:szCs w:val="24"/>
        </w:rPr>
      </w:pPr>
      <w:r>
        <w:rPr>
          <w:rFonts w:ascii="Arial" w:hAnsi="Arial" w:cs="Arial"/>
          <w:sz w:val="24"/>
          <w:szCs w:val="24"/>
        </w:rPr>
        <w:t>Ley del Juego – Artículo 14, Punto 7</w:t>
      </w:r>
    </w:p>
    <w:p w14:paraId="264C2ABA" w14:textId="508DA67E" w:rsidR="005B07CD" w:rsidRDefault="005B07CD" w:rsidP="005B07CD">
      <w:pPr>
        <w:pStyle w:val="Prrafodelista"/>
        <w:numPr>
          <w:ilvl w:val="0"/>
          <w:numId w:val="5"/>
        </w:numPr>
        <w:rPr>
          <w:rFonts w:ascii="Arial" w:hAnsi="Arial" w:cs="Arial"/>
          <w:sz w:val="24"/>
          <w:szCs w:val="24"/>
        </w:rPr>
      </w:pPr>
      <w:r>
        <w:rPr>
          <w:rFonts w:ascii="Arial" w:hAnsi="Arial" w:cs="Arial"/>
          <w:sz w:val="24"/>
          <w:szCs w:val="24"/>
        </w:rPr>
        <w:t xml:space="preserve">Tendrán una duración </w:t>
      </w:r>
      <w:r w:rsidR="007E6057">
        <w:rPr>
          <w:rFonts w:ascii="Arial" w:hAnsi="Arial" w:cs="Arial"/>
          <w:sz w:val="24"/>
          <w:szCs w:val="24"/>
        </w:rPr>
        <w:t xml:space="preserve">máxima </w:t>
      </w:r>
      <w:r>
        <w:rPr>
          <w:rFonts w:ascii="Arial" w:hAnsi="Arial" w:cs="Arial"/>
          <w:sz w:val="24"/>
          <w:szCs w:val="24"/>
        </w:rPr>
        <w:t>de 15 años</w:t>
      </w:r>
    </w:p>
    <w:p w14:paraId="530FE9C3" w14:textId="114BA2BD" w:rsidR="005B07CD" w:rsidRDefault="005B07CD" w:rsidP="005B07CD">
      <w:pPr>
        <w:pStyle w:val="Prrafodelista"/>
        <w:numPr>
          <w:ilvl w:val="0"/>
          <w:numId w:val="5"/>
        </w:numPr>
        <w:rPr>
          <w:rFonts w:ascii="Arial" w:hAnsi="Arial" w:cs="Arial"/>
          <w:sz w:val="24"/>
          <w:szCs w:val="24"/>
        </w:rPr>
      </w:pPr>
      <w:r>
        <w:rPr>
          <w:rFonts w:ascii="Arial" w:hAnsi="Arial" w:cs="Arial"/>
          <w:sz w:val="24"/>
          <w:szCs w:val="24"/>
        </w:rPr>
        <w:t xml:space="preserve">Sin perjuicio de otras causas de extinción que se podrán establecer reglamentariamente, las Autorizaciones se extinguen transcurridos treinta días naturales consecutivos de cesamiento de la actividad que constituye el objeto de ellas, </w:t>
      </w:r>
      <w:r w:rsidR="007E6057">
        <w:rPr>
          <w:rFonts w:ascii="Arial" w:hAnsi="Arial" w:cs="Arial"/>
          <w:sz w:val="24"/>
          <w:szCs w:val="24"/>
        </w:rPr>
        <w:t>c</w:t>
      </w:r>
      <w:r>
        <w:rPr>
          <w:rFonts w:ascii="Arial" w:hAnsi="Arial" w:cs="Arial"/>
          <w:sz w:val="24"/>
          <w:szCs w:val="24"/>
        </w:rPr>
        <w:t>on causa justificada, por solicitud del titular del establecimiento, del titular de la autorización o por transcurrido el plazo de duración máxima.</w:t>
      </w:r>
    </w:p>
    <w:p w14:paraId="2487CB46" w14:textId="77777777" w:rsidR="005B07CD" w:rsidRDefault="005B07CD" w:rsidP="005B07CD">
      <w:pPr>
        <w:rPr>
          <w:rFonts w:ascii="Arial" w:hAnsi="Arial" w:cs="Arial"/>
          <w:sz w:val="24"/>
          <w:szCs w:val="24"/>
        </w:rPr>
      </w:pPr>
      <w:r>
        <w:rPr>
          <w:rFonts w:ascii="Arial" w:hAnsi="Arial" w:cs="Arial"/>
          <w:sz w:val="24"/>
          <w:szCs w:val="24"/>
        </w:rPr>
        <w:t>Artículos del Reglamento de Juego NO derogados:</w:t>
      </w:r>
    </w:p>
    <w:p w14:paraId="088E0E1B" w14:textId="77777777" w:rsidR="005B07CD" w:rsidRDefault="005B07CD" w:rsidP="005B07CD">
      <w:pPr>
        <w:rPr>
          <w:rFonts w:ascii="Arial" w:hAnsi="Arial" w:cs="Arial"/>
          <w:sz w:val="24"/>
          <w:szCs w:val="24"/>
        </w:rPr>
      </w:pPr>
      <w:r>
        <w:rPr>
          <w:rFonts w:ascii="Arial" w:hAnsi="Arial" w:cs="Arial"/>
          <w:sz w:val="24"/>
          <w:szCs w:val="24"/>
        </w:rPr>
        <w:tab/>
        <w:t>Artículo 54 – Vigencia y Renovación de la AIL</w:t>
      </w:r>
    </w:p>
    <w:p w14:paraId="4CBFD4D6" w14:textId="77777777" w:rsidR="005B07CD" w:rsidRDefault="005B07CD" w:rsidP="005B07CD">
      <w:pPr>
        <w:ind w:left="1416"/>
        <w:rPr>
          <w:rFonts w:ascii="Arial" w:hAnsi="Arial" w:cs="Arial"/>
          <w:sz w:val="24"/>
          <w:szCs w:val="24"/>
        </w:rPr>
      </w:pPr>
      <w:r>
        <w:rPr>
          <w:rFonts w:ascii="Arial" w:hAnsi="Arial" w:cs="Arial"/>
          <w:sz w:val="24"/>
          <w:szCs w:val="24"/>
        </w:rPr>
        <w:t>Mínimo 5 años, pudiendo denunciarse su validez con 3 meses al vencimiento, los cambios de titular de local o de la autorización de juego, no causa revocación.</w:t>
      </w:r>
    </w:p>
    <w:p w14:paraId="7654E3F7" w14:textId="77777777" w:rsidR="005B07CD" w:rsidRDefault="005B07CD" w:rsidP="005B07CD">
      <w:pPr>
        <w:ind w:left="1416"/>
        <w:rPr>
          <w:rFonts w:ascii="Arial" w:hAnsi="Arial" w:cs="Arial"/>
          <w:sz w:val="24"/>
          <w:szCs w:val="24"/>
        </w:rPr>
      </w:pPr>
      <w:r>
        <w:rPr>
          <w:rFonts w:ascii="Arial" w:hAnsi="Arial" w:cs="Arial"/>
          <w:sz w:val="24"/>
          <w:szCs w:val="24"/>
        </w:rPr>
        <w:t>No se otorgará nueva autorización sino causó baja la existente en el establecimiento.</w:t>
      </w:r>
    </w:p>
    <w:p w14:paraId="31BA6CD9" w14:textId="77777777" w:rsidR="005B07CD" w:rsidRDefault="005B07CD" w:rsidP="005B07CD">
      <w:pPr>
        <w:ind w:left="708"/>
        <w:rPr>
          <w:rFonts w:ascii="Arial" w:hAnsi="Arial" w:cs="Arial"/>
          <w:sz w:val="24"/>
          <w:szCs w:val="24"/>
        </w:rPr>
      </w:pPr>
      <w:r>
        <w:rPr>
          <w:rFonts w:ascii="Arial" w:hAnsi="Arial" w:cs="Arial"/>
          <w:sz w:val="24"/>
          <w:szCs w:val="24"/>
        </w:rPr>
        <w:t xml:space="preserve">Artículo 55 – Extinción Autorización </w:t>
      </w:r>
    </w:p>
    <w:p w14:paraId="57EE8CE2" w14:textId="77777777" w:rsidR="005B07CD" w:rsidRDefault="005B07CD" w:rsidP="005B07CD">
      <w:pPr>
        <w:ind w:left="708"/>
        <w:rPr>
          <w:rFonts w:ascii="Arial" w:hAnsi="Arial" w:cs="Arial"/>
          <w:sz w:val="24"/>
          <w:szCs w:val="24"/>
        </w:rPr>
      </w:pPr>
      <w:r>
        <w:rPr>
          <w:rFonts w:ascii="Arial" w:hAnsi="Arial" w:cs="Arial"/>
          <w:sz w:val="24"/>
          <w:szCs w:val="24"/>
        </w:rPr>
        <w:tab/>
        <w:t xml:space="preserve">De la letra a) a la letra g). </w:t>
      </w:r>
    </w:p>
    <w:p w14:paraId="759FA1F3" w14:textId="77777777" w:rsidR="005B07CD" w:rsidRPr="006D08C1" w:rsidRDefault="005B07CD" w:rsidP="005B07CD">
      <w:pPr>
        <w:ind w:left="1416"/>
        <w:rPr>
          <w:rFonts w:ascii="Arial" w:hAnsi="Arial" w:cs="Arial"/>
          <w:sz w:val="24"/>
          <w:szCs w:val="24"/>
        </w:rPr>
      </w:pPr>
      <w:r w:rsidRPr="006D08C1">
        <w:rPr>
          <w:rFonts w:ascii="Arial" w:hAnsi="Arial" w:cs="Arial"/>
          <w:sz w:val="24"/>
          <w:szCs w:val="24"/>
          <w:u w:val="single"/>
        </w:rPr>
        <w:t>Destacamos letra g</w:t>
      </w:r>
      <w:proofErr w:type="gramStart"/>
      <w:r w:rsidRPr="006D08C1">
        <w:rPr>
          <w:rFonts w:ascii="Arial" w:hAnsi="Arial" w:cs="Arial"/>
          <w:sz w:val="24"/>
          <w:szCs w:val="24"/>
          <w:u w:val="single"/>
        </w:rPr>
        <w:t>)</w:t>
      </w:r>
      <w:r>
        <w:rPr>
          <w:rFonts w:ascii="Arial" w:hAnsi="Arial" w:cs="Arial"/>
          <w:sz w:val="24"/>
          <w:szCs w:val="24"/>
        </w:rPr>
        <w:t xml:space="preserve"> :</w:t>
      </w:r>
      <w:proofErr w:type="gramEnd"/>
      <w:r>
        <w:rPr>
          <w:rFonts w:ascii="Arial" w:hAnsi="Arial" w:cs="Arial"/>
          <w:sz w:val="24"/>
          <w:szCs w:val="24"/>
        </w:rPr>
        <w:t xml:space="preserve"> cierre establecimiento o cese de la actividad por periodo de tres años</w:t>
      </w:r>
    </w:p>
    <w:p w14:paraId="0814DE0B" w14:textId="77777777" w:rsidR="005B07CD" w:rsidRDefault="005B07CD" w:rsidP="005B07CD">
      <w:pPr>
        <w:rPr>
          <w:rFonts w:ascii="Arial" w:hAnsi="Arial" w:cs="Arial"/>
          <w:sz w:val="24"/>
          <w:szCs w:val="24"/>
        </w:rPr>
      </w:pPr>
    </w:p>
    <w:p w14:paraId="2396FBBA" w14:textId="77777777" w:rsidR="005B07CD" w:rsidRDefault="005B07CD" w:rsidP="005B07CD">
      <w:pPr>
        <w:pStyle w:val="Prrafodelista"/>
        <w:numPr>
          <w:ilvl w:val="0"/>
          <w:numId w:val="6"/>
        </w:numPr>
        <w:jc w:val="both"/>
        <w:rPr>
          <w:rFonts w:ascii="Arial" w:hAnsi="Arial" w:cs="Arial"/>
          <w:sz w:val="28"/>
          <w:szCs w:val="28"/>
        </w:rPr>
      </w:pPr>
      <w:r w:rsidRPr="00E330B5">
        <w:rPr>
          <w:rFonts w:ascii="Arial" w:hAnsi="Arial" w:cs="Arial"/>
          <w:sz w:val="28"/>
          <w:szCs w:val="28"/>
        </w:rPr>
        <w:t>¿Significa que el titular de hostelería puede solicitar la baja de la autorización firmada por él mismo, el operador, la Xunta y por un plazo determinado?</w:t>
      </w:r>
    </w:p>
    <w:p w14:paraId="7243DD18" w14:textId="77777777" w:rsidR="005B07CD" w:rsidRPr="00E330B5" w:rsidRDefault="005B07CD" w:rsidP="005B07CD">
      <w:pPr>
        <w:pStyle w:val="Prrafodelista"/>
        <w:jc w:val="both"/>
        <w:rPr>
          <w:rFonts w:ascii="Arial" w:hAnsi="Arial" w:cs="Arial"/>
          <w:sz w:val="28"/>
          <w:szCs w:val="28"/>
        </w:rPr>
      </w:pPr>
    </w:p>
    <w:p w14:paraId="3085C959" w14:textId="77777777" w:rsidR="005B07CD" w:rsidRDefault="005B07CD" w:rsidP="005B07CD">
      <w:pPr>
        <w:pStyle w:val="Prrafodelista"/>
        <w:numPr>
          <w:ilvl w:val="2"/>
          <w:numId w:val="6"/>
        </w:numPr>
        <w:ind w:left="1276"/>
        <w:jc w:val="both"/>
        <w:rPr>
          <w:rFonts w:ascii="Arial" w:hAnsi="Arial" w:cs="Arial"/>
          <w:sz w:val="24"/>
          <w:szCs w:val="24"/>
        </w:rPr>
      </w:pPr>
      <w:r>
        <w:rPr>
          <w:rFonts w:ascii="Arial" w:hAnsi="Arial" w:cs="Arial"/>
          <w:sz w:val="24"/>
          <w:szCs w:val="24"/>
        </w:rPr>
        <w:t>AGEO entiende que puede ser considerado ilegal, se podría, en último caso y por seguridad jurídica, distinguir las autorizaciones anteriores y posteriores a la entrada en vigor de la ley, si cupiera la lectura dudosa de que las comas ortográficas del artículo 14.7, en realidad fuesen puntos seguidos, como causa de extinción de la autorización.</w:t>
      </w:r>
    </w:p>
    <w:p w14:paraId="178A16E7" w14:textId="77777777" w:rsidR="005B07CD" w:rsidRDefault="005B07CD" w:rsidP="005B07CD">
      <w:pPr>
        <w:pStyle w:val="Prrafodelista"/>
        <w:ind w:left="1276"/>
        <w:jc w:val="both"/>
        <w:rPr>
          <w:rFonts w:ascii="Arial" w:hAnsi="Arial" w:cs="Arial"/>
          <w:sz w:val="24"/>
          <w:szCs w:val="24"/>
        </w:rPr>
      </w:pPr>
    </w:p>
    <w:p w14:paraId="279D5EE8" w14:textId="77777777" w:rsidR="005B07CD" w:rsidRDefault="005B07CD" w:rsidP="005B07CD">
      <w:pPr>
        <w:pStyle w:val="Prrafodelista"/>
        <w:numPr>
          <w:ilvl w:val="2"/>
          <w:numId w:val="6"/>
        </w:numPr>
        <w:ind w:left="1276"/>
        <w:jc w:val="both"/>
        <w:rPr>
          <w:rFonts w:ascii="Arial" w:hAnsi="Arial" w:cs="Arial"/>
          <w:sz w:val="24"/>
          <w:szCs w:val="24"/>
        </w:rPr>
      </w:pPr>
      <w:r>
        <w:rPr>
          <w:rFonts w:ascii="Arial" w:hAnsi="Arial" w:cs="Arial"/>
          <w:sz w:val="24"/>
          <w:szCs w:val="24"/>
        </w:rPr>
        <w:t>La no derogación de los artículos 54 y 55 del reglamento excepto, AGEO cree sólo, el artículo 55 en la letra g), ya mencionada, pues es el directamente afectado por la nueva ley, en el sentido de que en vez de tres años pasa a ser 30 días naturales.</w:t>
      </w:r>
    </w:p>
    <w:p w14:paraId="5B4EAC97" w14:textId="77777777" w:rsidR="005B07CD" w:rsidRPr="00E330B5" w:rsidRDefault="005B07CD" w:rsidP="005B07CD">
      <w:pPr>
        <w:pStyle w:val="Prrafodelista"/>
        <w:rPr>
          <w:rFonts w:ascii="Arial" w:hAnsi="Arial" w:cs="Arial"/>
          <w:sz w:val="24"/>
          <w:szCs w:val="24"/>
        </w:rPr>
      </w:pPr>
    </w:p>
    <w:p w14:paraId="7440138A" w14:textId="77777777" w:rsidR="005B07CD" w:rsidRPr="00E330B5" w:rsidRDefault="005B07CD" w:rsidP="005B07CD">
      <w:pPr>
        <w:pStyle w:val="Prrafodelista"/>
        <w:numPr>
          <w:ilvl w:val="0"/>
          <w:numId w:val="6"/>
        </w:numPr>
        <w:jc w:val="both"/>
        <w:rPr>
          <w:rFonts w:ascii="Arial" w:hAnsi="Arial" w:cs="Arial"/>
          <w:sz w:val="28"/>
          <w:szCs w:val="28"/>
          <w:u w:val="single"/>
        </w:rPr>
      </w:pPr>
      <w:r w:rsidRPr="00E330B5">
        <w:rPr>
          <w:rFonts w:ascii="Arial" w:hAnsi="Arial" w:cs="Arial"/>
          <w:sz w:val="28"/>
          <w:szCs w:val="28"/>
        </w:rPr>
        <w:t xml:space="preserve">La consecuencia de llegar a aprobarse el criterio de baja de la autorización por el hostelero </w:t>
      </w:r>
      <w:r w:rsidRPr="00E330B5">
        <w:rPr>
          <w:rFonts w:ascii="Arial" w:hAnsi="Arial" w:cs="Arial"/>
          <w:sz w:val="28"/>
          <w:szCs w:val="28"/>
          <w:u w:val="single"/>
        </w:rPr>
        <w:t>sin causa alguna</w:t>
      </w:r>
    </w:p>
    <w:p w14:paraId="593A8A8B" w14:textId="77777777" w:rsidR="005B07CD" w:rsidRDefault="005B07CD" w:rsidP="005B07CD">
      <w:pPr>
        <w:pStyle w:val="Prrafodelista"/>
        <w:ind w:left="1416"/>
        <w:jc w:val="both"/>
        <w:rPr>
          <w:rFonts w:ascii="Arial" w:hAnsi="Arial" w:cs="Arial"/>
          <w:sz w:val="24"/>
          <w:szCs w:val="24"/>
        </w:rPr>
      </w:pPr>
    </w:p>
    <w:p w14:paraId="35E1E89D" w14:textId="77777777" w:rsidR="005B07CD" w:rsidRDefault="005B07CD" w:rsidP="005B07CD">
      <w:pPr>
        <w:pStyle w:val="Prrafodelista"/>
        <w:ind w:left="1416"/>
        <w:jc w:val="both"/>
        <w:rPr>
          <w:rFonts w:ascii="Arial" w:hAnsi="Arial" w:cs="Arial"/>
          <w:sz w:val="24"/>
          <w:szCs w:val="24"/>
        </w:rPr>
      </w:pPr>
      <w:r>
        <w:rPr>
          <w:rFonts w:ascii="Arial" w:hAnsi="Arial" w:cs="Arial"/>
          <w:sz w:val="24"/>
          <w:szCs w:val="24"/>
        </w:rPr>
        <w:t>Coloca al sector del juego privado en una situación de precariedad absoluta, incompatible con la sostenibilidad de la actividad, al no respetarse el tiempo pactado en la AIL de mutuo acuerdo</w:t>
      </w:r>
    </w:p>
    <w:p w14:paraId="12607487" w14:textId="77777777" w:rsidR="007E6057" w:rsidRDefault="007E6057" w:rsidP="007E6057">
      <w:pPr>
        <w:pStyle w:val="Prrafodelista"/>
        <w:ind w:left="1416"/>
        <w:jc w:val="both"/>
        <w:rPr>
          <w:rFonts w:ascii="Arial" w:hAnsi="Arial" w:cs="Arial"/>
          <w:sz w:val="24"/>
          <w:szCs w:val="24"/>
        </w:rPr>
      </w:pPr>
      <w:r>
        <w:rPr>
          <w:rFonts w:ascii="Arial" w:hAnsi="Arial" w:cs="Arial"/>
          <w:sz w:val="24"/>
          <w:szCs w:val="24"/>
        </w:rPr>
        <w:lastRenderedPageBreak/>
        <w:t>Una segunda B en el mismo local de hostelería, nos equipararía con la práctica totalidad de las autonomías del estado, pero es incompatible con la posibilidad de la baja sin causa justificada de la autorización de explotación por el hostelero.</w:t>
      </w:r>
    </w:p>
    <w:p w14:paraId="64830B96" w14:textId="77777777" w:rsidR="007E6057" w:rsidRDefault="007E6057" w:rsidP="005B07CD">
      <w:pPr>
        <w:pStyle w:val="Prrafodelista"/>
        <w:ind w:left="1416"/>
        <w:jc w:val="both"/>
        <w:rPr>
          <w:rFonts w:ascii="Arial" w:hAnsi="Arial" w:cs="Arial"/>
          <w:sz w:val="24"/>
          <w:szCs w:val="24"/>
        </w:rPr>
      </w:pPr>
    </w:p>
    <w:p w14:paraId="36A59B03" w14:textId="77777777" w:rsidR="005B07CD" w:rsidRDefault="005B07CD" w:rsidP="005B07CD">
      <w:pPr>
        <w:pStyle w:val="Prrafodelista"/>
        <w:ind w:left="1416"/>
        <w:jc w:val="both"/>
        <w:rPr>
          <w:rFonts w:ascii="Arial" w:hAnsi="Arial" w:cs="Arial"/>
          <w:sz w:val="24"/>
          <w:szCs w:val="24"/>
        </w:rPr>
      </w:pPr>
    </w:p>
    <w:p w14:paraId="0A38A2FA" w14:textId="27034098" w:rsidR="005B07CD" w:rsidRDefault="005B07CD" w:rsidP="005B07CD">
      <w:pPr>
        <w:pStyle w:val="Prrafodelista"/>
        <w:ind w:left="2124"/>
        <w:jc w:val="both"/>
        <w:rPr>
          <w:rFonts w:ascii="Arial" w:hAnsi="Arial" w:cs="Arial"/>
          <w:sz w:val="24"/>
          <w:szCs w:val="24"/>
        </w:rPr>
      </w:pPr>
      <w:r>
        <w:rPr>
          <w:rFonts w:ascii="Arial" w:hAnsi="Arial" w:cs="Arial"/>
          <w:sz w:val="24"/>
          <w:szCs w:val="24"/>
        </w:rPr>
        <w:t xml:space="preserve"> Porque supone una inversión </w:t>
      </w:r>
      <w:r w:rsidR="004D7D47">
        <w:rPr>
          <w:rFonts w:ascii="Arial" w:hAnsi="Arial" w:cs="Arial"/>
          <w:sz w:val="24"/>
          <w:szCs w:val="24"/>
        </w:rPr>
        <w:t xml:space="preserve">en una máquina de coste medio </w:t>
      </w:r>
      <w:r>
        <w:rPr>
          <w:rFonts w:ascii="Arial" w:hAnsi="Arial" w:cs="Arial"/>
          <w:sz w:val="24"/>
          <w:szCs w:val="24"/>
        </w:rPr>
        <w:t>de aproximadamente 5.000€ (para amortizar en 5 años), una tasa fiscal de devengo trimestral de 900€</w:t>
      </w:r>
      <w:r w:rsidR="004D7D47">
        <w:rPr>
          <w:rFonts w:ascii="Arial" w:hAnsi="Arial" w:cs="Arial"/>
          <w:sz w:val="24"/>
          <w:szCs w:val="24"/>
        </w:rPr>
        <w:t xml:space="preserve"> (en conjunto para las aproximadamente 3.000 máquinas del tipo B en suspensión provisional x 3.600€ anual son 10.8000.000€)</w:t>
      </w:r>
      <w:r>
        <w:rPr>
          <w:rFonts w:ascii="Arial" w:hAnsi="Arial" w:cs="Arial"/>
          <w:sz w:val="24"/>
          <w:szCs w:val="24"/>
        </w:rPr>
        <w:t xml:space="preserve">, otras tasas y gastos generales; todo esto dentro del marco de ser la operadora, de las tres partes involucradas (operadora, hostelero y Xunta) la única responsable tributaria y con inversión en equipamiento con corta vida útil. </w:t>
      </w:r>
    </w:p>
    <w:p w14:paraId="39D0FEFA" w14:textId="77777777" w:rsidR="005B07CD" w:rsidRDefault="005B07CD" w:rsidP="005B07CD">
      <w:pPr>
        <w:pStyle w:val="Prrafodelista"/>
        <w:ind w:left="1416"/>
        <w:jc w:val="both"/>
        <w:rPr>
          <w:rFonts w:ascii="Arial" w:hAnsi="Arial" w:cs="Arial"/>
          <w:sz w:val="24"/>
          <w:szCs w:val="24"/>
        </w:rPr>
      </w:pPr>
    </w:p>
    <w:p w14:paraId="731772AF" w14:textId="77777777" w:rsidR="005B07CD" w:rsidRPr="003B1842" w:rsidRDefault="005B07CD" w:rsidP="005B07CD">
      <w:pPr>
        <w:pStyle w:val="Prrafodelista"/>
        <w:numPr>
          <w:ilvl w:val="0"/>
          <w:numId w:val="6"/>
        </w:numPr>
        <w:jc w:val="both"/>
        <w:rPr>
          <w:rFonts w:ascii="Arial" w:hAnsi="Arial" w:cs="Arial"/>
          <w:sz w:val="28"/>
          <w:szCs w:val="28"/>
        </w:rPr>
      </w:pPr>
      <w:r w:rsidRPr="003B1842">
        <w:rPr>
          <w:rFonts w:ascii="Arial" w:hAnsi="Arial" w:cs="Arial"/>
          <w:sz w:val="28"/>
          <w:szCs w:val="28"/>
        </w:rPr>
        <w:t>Se estableció una vigencia máxima de AIL de 15 años</w:t>
      </w:r>
    </w:p>
    <w:p w14:paraId="6597A98B" w14:textId="77777777" w:rsidR="005B07CD" w:rsidRPr="003B1842" w:rsidRDefault="005B07CD" w:rsidP="005B07CD">
      <w:pPr>
        <w:ind w:left="1416"/>
        <w:jc w:val="both"/>
        <w:rPr>
          <w:rFonts w:ascii="Arial" w:hAnsi="Arial" w:cs="Arial"/>
          <w:sz w:val="24"/>
          <w:szCs w:val="24"/>
        </w:rPr>
      </w:pPr>
      <w:r>
        <w:rPr>
          <w:rFonts w:ascii="Arial" w:hAnsi="Arial" w:cs="Arial"/>
          <w:sz w:val="24"/>
          <w:szCs w:val="24"/>
        </w:rPr>
        <w:t>Las existentes eran con vencimientos de 1-3-5-10 años aproximadamente, ni el operador ni el hostelero suscribieron nueva autorización por nueva vigencia, AGEO entiende que esto plantea un problema que tiene varias soluciones.</w:t>
      </w:r>
    </w:p>
    <w:p w14:paraId="7C08B03A" w14:textId="77777777" w:rsidR="005B07CD" w:rsidRDefault="005B07CD" w:rsidP="005B07CD">
      <w:pPr>
        <w:rPr>
          <w:rFonts w:ascii="Arial" w:hAnsi="Arial" w:cs="Arial"/>
          <w:b/>
          <w:bCs/>
          <w:sz w:val="24"/>
          <w:szCs w:val="24"/>
          <w:u w:val="single"/>
        </w:rPr>
      </w:pPr>
    </w:p>
    <w:p w14:paraId="747FF274" w14:textId="365528BD" w:rsidR="005B07CD" w:rsidRDefault="005B07CD" w:rsidP="005B07CD">
      <w:pPr>
        <w:rPr>
          <w:rFonts w:ascii="Arial" w:hAnsi="Arial" w:cs="Arial"/>
          <w:b/>
          <w:bCs/>
          <w:sz w:val="24"/>
          <w:szCs w:val="24"/>
          <w:u w:val="single"/>
        </w:rPr>
      </w:pPr>
      <w:r>
        <w:rPr>
          <w:rFonts w:ascii="Arial" w:hAnsi="Arial" w:cs="Arial"/>
          <w:b/>
          <w:bCs/>
          <w:sz w:val="24"/>
          <w:szCs w:val="24"/>
          <w:u w:val="single"/>
        </w:rPr>
        <w:t>Número de máquinas B en un local de hostelería y dos operadores en el mismo local para el mismo tipo de máquina.</w:t>
      </w:r>
    </w:p>
    <w:p w14:paraId="6B853710" w14:textId="77777777" w:rsidR="005B07CD" w:rsidRDefault="005B07CD" w:rsidP="005B07CD">
      <w:pPr>
        <w:rPr>
          <w:rFonts w:ascii="Arial" w:hAnsi="Arial" w:cs="Arial"/>
          <w:sz w:val="24"/>
          <w:szCs w:val="24"/>
        </w:rPr>
      </w:pPr>
      <w:r>
        <w:rPr>
          <w:rFonts w:ascii="Arial" w:hAnsi="Arial" w:cs="Arial"/>
          <w:sz w:val="24"/>
          <w:szCs w:val="24"/>
        </w:rPr>
        <w:t>Ley del Juego, Disposición Derogatoria Única (D.O. Única)</w:t>
      </w:r>
    </w:p>
    <w:p w14:paraId="709E4271" w14:textId="77777777" w:rsidR="005B07CD" w:rsidRDefault="005B07CD" w:rsidP="005B07CD">
      <w:pPr>
        <w:rPr>
          <w:rFonts w:ascii="Arial" w:hAnsi="Arial" w:cs="Arial"/>
          <w:sz w:val="24"/>
          <w:szCs w:val="24"/>
        </w:rPr>
      </w:pPr>
      <w:r>
        <w:rPr>
          <w:rFonts w:ascii="Arial" w:hAnsi="Arial" w:cs="Arial"/>
          <w:sz w:val="24"/>
          <w:szCs w:val="24"/>
        </w:rPr>
        <w:tab/>
        <w:t>Deroga del Reglamento del Juego, artículo 51, Punto 2, Apartado c), referido a hostelería</w:t>
      </w:r>
    </w:p>
    <w:p w14:paraId="0267DCF8" w14:textId="77777777" w:rsidR="005B07CD" w:rsidRDefault="005B07CD" w:rsidP="005B07CD">
      <w:pPr>
        <w:pStyle w:val="Prrafodelista"/>
        <w:numPr>
          <w:ilvl w:val="0"/>
          <w:numId w:val="3"/>
        </w:numPr>
        <w:rPr>
          <w:rFonts w:ascii="Arial" w:hAnsi="Arial" w:cs="Arial"/>
          <w:sz w:val="24"/>
          <w:szCs w:val="24"/>
        </w:rPr>
      </w:pPr>
      <w:r>
        <w:rPr>
          <w:rFonts w:ascii="Arial" w:hAnsi="Arial" w:cs="Arial"/>
          <w:sz w:val="24"/>
          <w:szCs w:val="24"/>
        </w:rPr>
        <w:t>Una sola máquina de cada uno de los tipos A, A especial, B, no pudiendo instalarse más de dos simultáneamente.</w:t>
      </w:r>
    </w:p>
    <w:p w14:paraId="6594C991" w14:textId="77777777" w:rsidR="005B07CD" w:rsidRDefault="005B07CD" w:rsidP="005B07CD">
      <w:pPr>
        <w:pStyle w:val="Prrafodelista"/>
        <w:numPr>
          <w:ilvl w:val="0"/>
          <w:numId w:val="3"/>
        </w:numPr>
        <w:rPr>
          <w:rFonts w:ascii="Arial" w:hAnsi="Arial" w:cs="Arial"/>
          <w:sz w:val="24"/>
          <w:szCs w:val="24"/>
        </w:rPr>
      </w:pPr>
      <w:r>
        <w:rPr>
          <w:rFonts w:ascii="Arial" w:hAnsi="Arial" w:cs="Arial"/>
          <w:sz w:val="24"/>
          <w:szCs w:val="24"/>
        </w:rPr>
        <w:t>No podrá simultanearse la instalación de máquinas en un mismo establecimiento por empresas operadoras distintas.</w:t>
      </w:r>
    </w:p>
    <w:p w14:paraId="43BF31AE" w14:textId="77777777" w:rsidR="005B07CD" w:rsidRDefault="005B07CD" w:rsidP="005B07CD">
      <w:pPr>
        <w:pStyle w:val="Prrafodelista"/>
        <w:ind w:left="1428"/>
        <w:rPr>
          <w:rFonts w:ascii="Arial" w:hAnsi="Arial" w:cs="Arial"/>
          <w:sz w:val="24"/>
          <w:szCs w:val="24"/>
        </w:rPr>
      </w:pPr>
    </w:p>
    <w:p w14:paraId="0E57B3C1" w14:textId="77777777" w:rsidR="005B07CD" w:rsidRPr="00406B4F" w:rsidRDefault="005B07CD" w:rsidP="005B07CD">
      <w:pPr>
        <w:pStyle w:val="Prrafodelista"/>
        <w:numPr>
          <w:ilvl w:val="0"/>
          <w:numId w:val="4"/>
        </w:numPr>
        <w:rPr>
          <w:rFonts w:ascii="Arial" w:hAnsi="Arial" w:cs="Arial"/>
          <w:sz w:val="28"/>
          <w:szCs w:val="28"/>
        </w:rPr>
      </w:pPr>
      <w:r w:rsidRPr="00406B4F">
        <w:rPr>
          <w:rFonts w:ascii="Arial" w:hAnsi="Arial" w:cs="Arial"/>
          <w:sz w:val="28"/>
          <w:szCs w:val="28"/>
        </w:rPr>
        <w:t>¿Quiere esto decir que autoriza una segunda B en un bar?</w:t>
      </w:r>
    </w:p>
    <w:p w14:paraId="55979953" w14:textId="77777777" w:rsidR="005B07CD" w:rsidRPr="0037634D" w:rsidRDefault="005B07CD" w:rsidP="005B07CD">
      <w:pPr>
        <w:ind w:left="1080"/>
        <w:rPr>
          <w:rFonts w:ascii="Arial" w:hAnsi="Arial" w:cs="Arial"/>
          <w:sz w:val="24"/>
          <w:szCs w:val="24"/>
        </w:rPr>
      </w:pPr>
      <w:r>
        <w:rPr>
          <w:rFonts w:ascii="Arial" w:hAnsi="Arial" w:cs="Arial"/>
          <w:sz w:val="24"/>
          <w:szCs w:val="24"/>
        </w:rPr>
        <w:t>Dependerá del desarrollo reglamentario, ya que era donde estaba definido, debiendo definirlo dentro de los límites de la ley del juego. Criterio de prudencia de seguridad jurídica.</w:t>
      </w:r>
    </w:p>
    <w:p w14:paraId="33E1F76B" w14:textId="77777777" w:rsidR="005B07CD" w:rsidRPr="00406B4F" w:rsidRDefault="005B07CD" w:rsidP="005B07CD">
      <w:pPr>
        <w:pStyle w:val="Prrafodelista"/>
        <w:numPr>
          <w:ilvl w:val="0"/>
          <w:numId w:val="4"/>
        </w:numPr>
        <w:rPr>
          <w:rFonts w:ascii="Arial" w:hAnsi="Arial" w:cs="Arial"/>
          <w:sz w:val="28"/>
          <w:szCs w:val="28"/>
        </w:rPr>
      </w:pPr>
      <w:r w:rsidRPr="00406B4F">
        <w:rPr>
          <w:rFonts w:ascii="Arial" w:hAnsi="Arial" w:cs="Arial"/>
          <w:sz w:val="28"/>
          <w:szCs w:val="28"/>
        </w:rPr>
        <w:t>¿Dice la ley que puede haber dos operadores distintos en un mismo local de hostelería y para dos máquinas iguales?</w:t>
      </w:r>
    </w:p>
    <w:p w14:paraId="7EDD9DC8" w14:textId="77777777" w:rsidR="005B07CD" w:rsidRDefault="005B07CD" w:rsidP="005B07CD">
      <w:pPr>
        <w:ind w:left="1134"/>
        <w:rPr>
          <w:rFonts w:ascii="Arial" w:hAnsi="Arial" w:cs="Arial"/>
          <w:sz w:val="24"/>
          <w:szCs w:val="24"/>
        </w:rPr>
      </w:pPr>
      <w:r>
        <w:rPr>
          <w:rFonts w:ascii="Arial" w:hAnsi="Arial" w:cs="Arial"/>
          <w:sz w:val="24"/>
          <w:szCs w:val="24"/>
        </w:rPr>
        <w:t>No lo dice, como en el caso anterior, deberá ser el reglamento</w:t>
      </w:r>
    </w:p>
    <w:p w14:paraId="05E749D1" w14:textId="77777777" w:rsidR="00AE7A8D" w:rsidRPr="00AE7A8D" w:rsidRDefault="00AE7A8D" w:rsidP="005B07CD">
      <w:pPr>
        <w:jc w:val="both"/>
        <w:rPr>
          <w:rFonts w:ascii="Arial" w:hAnsi="Arial" w:cs="Arial"/>
          <w:b/>
          <w:bCs/>
          <w:sz w:val="24"/>
          <w:szCs w:val="24"/>
        </w:rPr>
      </w:pPr>
    </w:p>
    <w:p w14:paraId="2F5A81B7" w14:textId="7C563E58" w:rsidR="00804BD7" w:rsidRDefault="00804BD7" w:rsidP="00804BD7">
      <w:pPr>
        <w:jc w:val="both"/>
        <w:rPr>
          <w:rFonts w:ascii="Arial" w:hAnsi="Arial" w:cs="Arial"/>
          <w:b/>
          <w:bCs/>
          <w:sz w:val="24"/>
          <w:szCs w:val="24"/>
          <w:u w:val="single"/>
        </w:rPr>
      </w:pPr>
      <w:r>
        <w:rPr>
          <w:rFonts w:ascii="Arial" w:hAnsi="Arial" w:cs="Arial"/>
          <w:b/>
          <w:bCs/>
          <w:sz w:val="24"/>
          <w:szCs w:val="24"/>
          <w:u w:val="single"/>
        </w:rPr>
        <w:t>Situación máquinas no instaladas</w:t>
      </w:r>
    </w:p>
    <w:p w14:paraId="3E2F251E" w14:textId="77777777" w:rsidR="00804BD7" w:rsidRDefault="00804BD7" w:rsidP="00804BD7">
      <w:pPr>
        <w:jc w:val="both"/>
        <w:rPr>
          <w:rFonts w:ascii="Arial" w:hAnsi="Arial" w:cs="Arial"/>
          <w:sz w:val="24"/>
          <w:szCs w:val="24"/>
        </w:rPr>
      </w:pPr>
      <w:r>
        <w:rPr>
          <w:rFonts w:ascii="Arial" w:hAnsi="Arial" w:cs="Arial"/>
          <w:sz w:val="24"/>
          <w:szCs w:val="24"/>
        </w:rPr>
        <w:t>D.T. 7º (Disposición transitoria 7º)</w:t>
      </w:r>
    </w:p>
    <w:p w14:paraId="31AFCF5C" w14:textId="77777777" w:rsidR="00804BD7" w:rsidRDefault="00804BD7" w:rsidP="00804BD7">
      <w:pPr>
        <w:ind w:left="708"/>
        <w:jc w:val="both"/>
        <w:rPr>
          <w:rFonts w:ascii="Arial" w:hAnsi="Arial" w:cs="Arial"/>
          <w:sz w:val="24"/>
          <w:szCs w:val="24"/>
        </w:rPr>
      </w:pPr>
      <w:r>
        <w:rPr>
          <w:rFonts w:ascii="Arial" w:hAnsi="Arial" w:cs="Arial"/>
          <w:sz w:val="24"/>
          <w:szCs w:val="24"/>
        </w:rPr>
        <w:t>Aplicable a máquinas (B y Apuestas) que estén autorizadas en establecimientos</w:t>
      </w:r>
    </w:p>
    <w:p w14:paraId="40B2BFA2" w14:textId="77777777" w:rsidR="00804BD7" w:rsidRDefault="00804BD7" w:rsidP="00804BD7">
      <w:pPr>
        <w:pStyle w:val="Prrafodelista"/>
        <w:numPr>
          <w:ilvl w:val="0"/>
          <w:numId w:val="1"/>
        </w:numPr>
        <w:jc w:val="both"/>
        <w:rPr>
          <w:rFonts w:ascii="Arial" w:hAnsi="Arial" w:cs="Arial"/>
          <w:sz w:val="24"/>
          <w:szCs w:val="24"/>
        </w:rPr>
      </w:pPr>
      <w:r>
        <w:rPr>
          <w:rFonts w:ascii="Arial" w:hAnsi="Arial" w:cs="Arial"/>
          <w:sz w:val="24"/>
          <w:szCs w:val="24"/>
        </w:rPr>
        <w:t>Plazo hasta el 06-10-2024 para la instalación en los establecimientos para los que está autorizadas.</w:t>
      </w:r>
    </w:p>
    <w:p w14:paraId="246E8112" w14:textId="77777777" w:rsidR="00804BD7" w:rsidRDefault="00804BD7" w:rsidP="00804BD7">
      <w:pPr>
        <w:pStyle w:val="Prrafodelista"/>
        <w:numPr>
          <w:ilvl w:val="0"/>
          <w:numId w:val="1"/>
        </w:numPr>
        <w:jc w:val="both"/>
        <w:rPr>
          <w:rFonts w:ascii="Arial" w:hAnsi="Arial" w:cs="Arial"/>
          <w:sz w:val="24"/>
          <w:szCs w:val="24"/>
        </w:rPr>
      </w:pPr>
      <w:r>
        <w:rPr>
          <w:rFonts w:ascii="Arial" w:hAnsi="Arial" w:cs="Arial"/>
          <w:sz w:val="24"/>
          <w:szCs w:val="24"/>
        </w:rPr>
        <w:lastRenderedPageBreak/>
        <w:t>Causaron baja de oficio, caso contrario.</w:t>
      </w:r>
    </w:p>
    <w:p w14:paraId="3E5A5380" w14:textId="5AA7E756" w:rsidR="00804BD7" w:rsidRDefault="00804BD7" w:rsidP="00804BD7">
      <w:pPr>
        <w:ind w:left="708"/>
        <w:jc w:val="both"/>
        <w:rPr>
          <w:rFonts w:ascii="Arial" w:hAnsi="Arial" w:cs="Arial"/>
          <w:sz w:val="24"/>
          <w:szCs w:val="24"/>
        </w:rPr>
      </w:pPr>
      <w:r w:rsidRPr="00917B07">
        <w:rPr>
          <w:rFonts w:ascii="Arial" w:hAnsi="Arial" w:cs="Arial"/>
          <w:sz w:val="24"/>
          <w:szCs w:val="24"/>
        </w:rPr>
        <w:t>No se refiere por lo tanto a las</w:t>
      </w:r>
      <w:r w:rsidR="004D7D47">
        <w:rPr>
          <w:rFonts w:ascii="Arial" w:hAnsi="Arial" w:cs="Arial"/>
          <w:sz w:val="24"/>
          <w:szCs w:val="24"/>
        </w:rPr>
        <w:t xml:space="preserve"> máquinas</w:t>
      </w:r>
      <w:r w:rsidRPr="00917B07">
        <w:rPr>
          <w:rFonts w:ascii="Arial" w:hAnsi="Arial" w:cs="Arial"/>
          <w:sz w:val="24"/>
          <w:szCs w:val="24"/>
        </w:rPr>
        <w:t xml:space="preserve"> no instaladas</w:t>
      </w:r>
      <w:r w:rsidR="004D7D47">
        <w:rPr>
          <w:rFonts w:ascii="Arial" w:hAnsi="Arial" w:cs="Arial"/>
          <w:sz w:val="24"/>
          <w:szCs w:val="24"/>
        </w:rPr>
        <w:t xml:space="preserve"> (que no estén autorizadas en un establecimiento)</w:t>
      </w:r>
      <w:r w:rsidRPr="00917B07">
        <w:rPr>
          <w:rFonts w:ascii="Arial" w:hAnsi="Arial" w:cs="Arial"/>
          <w:sz w:val="24"/>
          <w:szCs w:val="24"/>
        </w:rPr>
        <w:t xml:space="preserve">, es decir, </w:t>
      </w:r>
      <w:r w:rsidR="004D7D47">
        <w:rPr>
          <w:rFonts w:ascii="Arial" w:hAnsi="Arial" w:cs="Arial"/>
          <w:sz w:val="24"/>
          <w:szCs w:val="24"/>
        </w:rPr>
        <w:t xml:space="preserve">que se encuentren </w:t>
      </w:r>
      <w:r w:rsidRPr="00917B07">
        <w:rPr>
          <w:rFonts w:ascii="Arial" w:hAnsi="Arial" w:cs="Arial"/>
          <w:sz w:val="24"/>
          <w:szCs w:val="24"/>
        </w:rPr>
        <w:t>en suspensión provisional o almacén.</w:t>
      </w:r>
    </w:p>
    <w:p w14:paraId="2A4225AD" w14:textId="77777777" w:rsidR="00804BD7" w:rsidRPr="00917B07" w:rsidRDefault="00804BD7" w:rsidP="00804BD7">
      <w:pPr>
        <w:ind w:left="708"/>
        <w:jc w:val="both"/>
        <w:rPr>
          <w:rFonts w:ascii="Arial" w:hAnsi="Arial" w:cs="Arial"/>
          <w:sz w:val="24"/>
          <w:szCs w:val="24"/>
        </w:rPr>
      </w:pPr>
      <w:r>
        <w:rPr>
          <w:rFonts w:ascii="Arial" w:hAnsi="Arial" w:cs="Arial"/>
          <w:sz w:val="24"/>
          <w:szCs w:val="24"/>
        </w:rPr>
        <w:t>Posteriormente, enmienda aprobada añade un 3º punto</w:t>
      </w:r>
    </w:p>
    <w:p w14:paraId="29508A7A" w14:textId="4E55AB80" w:rsidR="00804BD7" w:rsidRPr="00804BD7" w:rsidRDefault="00804BD7" w:rsidP="00804BD7">
      <w:pPr>
        <w:pStyle w:val="cs95e872d0"/>
        <w:numPr>
          <w:ilvl w:val="0"/>
          <w:numId w:val="1"/>
        </w:numPr>
      </w:pPr>
      <w:r>
        <w:rPr>
          <w:rFonts w:ascii="Arial" w:hAnsi="Arial" w:cs="Arial"/>
        </w:rPr>
        <w:t>Las máquinas que pasen a situación de no instaladas</w:t>
      </w:r>
      <w:r w:rsidR="004D7D47">
        <w:rPr>
          <w:rFonts w:ascii="Arial" w:hAnsi="Arial" w:cs="Arial"/>
        </w:rPr>
        <w:t xml:space="preserve"> (porque anteriormente estaban o figuraban instaladas) </w:t>
      </w:r>
      <w:r>
        <w:rPr>
          <w:rFonts w:ascii="Arial" w:hAnsi="Arial" w:cs="Arial"/>
        </w:rPr>
        <w:t>mantendrán esa situación que el reglamento desarrollará.</w:t>
      </w:r>
    </w:p>
    <w:p w14:paraId="1A394232" w14:textId="77777777" w:rsidR="008E5115" w:rsidRDefault="008E5115" w:rsidP="00804BD7">
      <w:pPr>
        <w:pStyle w:val="cs95e872d0"/>
        <w:rPr>
          <w:rFonts w:ascii="Arial" w:hAnsi="Arial" w:cs="Arial"/>
          <w:b/>
          <w:bCs/>
          <w:u w:val="single"/>
        </w:rPr>
      </w:pPr>
    </w:p>
    <w:p w14:paraId="751E1EBA" w14:textId="55BEF7E7" w:rsidR="00804BD7" w:rsidRDefault="00804BD7" w:rsidP="00804BD7">
      <w:pPr>
        <w:pStyle w:val="cs95e872d0"/>
        <w:rPr>
          <w:rFonts w:ascii="Arial" w:hAnsi="Arial" w:cs="Arial"/>
          <w:b/>
          <w:bCs/>
          <w:u w:val="single"/>
        </w:rPr>
      </w:pPr>
      <w:r w:rsidRPr="00C67EE1">
        <w:rPr>
          <w:rFonts w:ascii="Arial" w:hAnsi="Arial" w:cs="Arial"/>
          <w:b/>
          <w:bCs/>
          <w:u w:val="single"/>
        </w:rPr>
        <w:t>Situación del número de autorizaciones de locales (A.I.L.) que una empresa operadora puede</w:t>
      </w:r>
      <w:r>
        <w:rPr>
          <w:rFonts w:ascii="Arial" w:hAnsi="Arial" w:cs="Arial"/>
          <w:b/>
          <w:bCs/>
          <w:u w:val="single"/>
        </w:rPr>
        <w:t xml:space="preserve"> tener</w:t>
      </w:r>
    </w:p>
    <w:p w14:paraId="0A7857C5" w14:textId="77777777" w:rsidR="00804BD7" w:rsidRDefault="00804BD7" w:rsidP="00804BD7">
      <w:pPr>
        <w:ind w:left="708"/>
        <w:jc w:val="both"/>
        <w:rPr>
          <w:rFonts w:ascii="Arial" w:hAnsi="Arial" w:cs="Arial"/>
          <w:sz w:val="24"/>
          <w:szCs w:val="24"/>
        </w:rPr>
      </w:pPr>
      <w:r>
        <w:rPr>
          <w:rFonts w:ascii="Arial" w:hAnsi="Arial" w:cs="Arial"/>
          <w:sz w:val="24"/>
          <w:szCs w:val="24"/>
        </w:rPr>
        <w:t>Enmienda aprobada dentro del punto 3º añadido a las D.T. 7º</w:t>
      </w:r>
    </w:p>
    <w:p w14:paraId="45CBE0C8" w14:textId="77777777" w:rsidR="00804BD7" w:rsidRDefault="00804BD7" w:rsidP="00804BD7">
      <w:pPr>
        <w:pStyle w:val="Prrafodelista"/>
        <w:numPr>
          <w:ilvl w:val="0"/>
          <w:numId w:val="3"/>
        </w:numPr>
        <w:jc w:val="both"/>
        <w:rPr>
          <w:rFonts w:ascii="Arial" w:hAnsi="Arial" w:cs="Arial"/>
          <w:sz w:val="24"/>
          <w:szCs w:val="24"/>
        </w:rPr>
      </w:pPr>
      <w:r>
        <w:rPr>
          <w:rFonts w:ascii="Arial" w:hAnsi="Arial" w:cs="Arial"/>
          <w:sz w:val="24"/>
          <w:szCs w:val="24"/>
        </w:rPr>
        <w:t>Una empresa no podrá tener más autorizaciones de locales que autorizaciones de explotación que posea.</w:t>
      </w:r>
    </w:p>
    <w:p w14:paraId="397B25AF" w14:textId="77777777" w:rsidR="00804BD7" w:rsidRDefault="00804BD7" w:rsidP="00804BD7">
      <w:pPr>
        <w:ind w:left="708"/>
        <w:jc w:val="both"/>
        <w:rPr>
          <w:rFonts w:ascii="Arial" w:hAnsi="Arial" w:cs="Arial"/>
          <w:sz w:val="24"/>
          <w:szCs w:val="24"/>
        </w:rPr>
      </w:pPr>
      <w:r>
        <w:rPr>
          <w:rFonts w:ascii="Arial" w:hAnsi="Arial" w:cs="Arial"/>
          <w:sz w:val="24"/>
          <w:szCs w:val="24"/>
        </w:rPr>
        <w:t>Aclaramos, una empresa tiene máquinas en situación de instaladas en hostelería, en establecimientos específicos de juego (salones, bingos, casas de apuestas), en almacén y finalmente en suspensión provisional.</w:t>
      </w:r>
    </w:p>
    <w:p w14:paraId="446179EC" w14:textId="77777777" w:rsidR="00804BD7" w:rsidRPr="00917B07" w:rsidRDefault="00804BD7" w:rsidP="00804BD7">
      <w:pPr>
        <w:ind w:left="708"/>
        <w:jc w:val="both"/>
        <w:rPr>
          <w:rFonts w:ascii="Arial" w:hAnsi="Arial" w:cs="Arial"/>
          <w:sz w:val="24"/>
          <w:szCs w:val="24"/>
        </w:rPr>
      </w:pPr>
      <w:r>
        <w:rPr>
          <w:rFonts w:ascii="Arial" w:hAnsi="Arial" w:cs="Arial"/>
          <w:sz w:val="24"/>
          <w:szCs w:val="24"/>
        </w:rPr>
        <w:t>Ejemplo: 100 AE (65 hostelería + 5 almacén + 10 salón + 20 suspensión)</w:t>
      </w:r>
    </w:p>
    <w:p w14:paraId="3365AA46" w14:textId="77777777" w:rsidR="00907502" w:rsidRDefault="00907502" w:rsidP="004D7D47">
      <w:pPr>
        <w:pStyle w:val="cs95e872d0"/>
        <w:jc w:val="both"/>
        <w:rPr>
          <w:rFonts w:ascii="Book Antiqua" w:hAnsi="Book Antiqua" w:cs="Arial"/>
          <w:sz w:val="28"/>
          <w:szCs w:val="28"/>
        </w:rPr>
      </w:pPr>
    </w:p>
    <w:p w14:paraId="21E27B93" w14:textId="13969757" w:rsidR="00907502" w:rsidRPr="00907502" w:rsidRDefault="00306A62" w:rsidP="004D7D47">
      <w:pPr>
        <w:pStyle w:val="cs95e872d0"/>
        <w:jc w:val="both"/>
        <w:rPr>
          <w:rFonts w:ascii="Arial" w:hAnsi="Arial" w:cs="Arial"/>
          <w:sz w:val="28"/>
          <w:szCs w:val="28"/>
        </w:rPr>
      </w:pPr>
      <w:r w:rsidRPr="00907502">
        <w:rPr>
          <w:rFonts w:ascii="Arial" w:hAnsi="Arial" w:cs="Arial"/>
          <w:sz w:val="28"/>
          <w:szCs w:val="28"/>
        </w:rPr>
        <w:t xml:space="preserve">Propuesta </w:t>
      </w:r>
      <w:r w:rsidR="00907502" w:rsidRPr="00907502">
        <w:rPr>
          <w:rFonts w:ascii="Arial" w:hAnsi="Arial" w:cs="Arial"/>
          <w:sz w:val="28"/>
          <w:szCs w:val="28"/>
        </w:rPr>
        <w:t>AGEO:</w:t>
      </w:r>
    </w:p>
    <w:p w14:paraId="325E7D88" w14:textId="3C337AC0" w:rsidR="00306A62" w:rsidRPr="00907502" w:rsidRDefault="00306A62" w:rsidP="00907502">
      <w:pPr>
        <w:pStyle w:val="cs95e872d0"/>
        <w:ind w:left="708"/>
        <w:jc w:val="both"/>
        <w:rPr>
          <w:rFonts w:ascii="Arial" w:hAnsi="Arial" w:cs="Arial"/>
          <w:sz w:val="28"/>
          <w:szCs w:val="28"/>
        </w:rPr>
      </w:pPr>
      <w:r w:rsidRPr="00907502">
        <w:rPr>
          <w:rFonts w:ascii="Arial" w:hAnsi="Arial" w:cs="Arial"/>
          <w:sz w:val="28"/>
          <w:szCs w:val="28"/>
        </w:rPr>
        <w:t>Una sola autorización de juego por establecimiento.</w:t>
      </w:r>
    </w:p>
    <w:sectPr w:rsidR="00306A62" w:rsidRPr="00907502" w:rsidSect="00804BD7">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BD37E" w14:textId="77777777" w:rsidR="00FB7A60" w:rsidRDefault="00FB7A60" w:rsidP="00AE7A8D">
      <w:pPr>
        <w:spacing w:after="0" w:line="240" w:lineRule="auto"/>
      </w:pPr>
      <w:r>
        <w:separator/>
      </w:r>
    </w:p>
  </w:endnote>
  <w:endnote w:type="continuationSeparator" w:id="0">
    <w:p w14:paraId="38264683" w14:textId="77777777" w:rsidR="00FB7A60" w:rsidRDefault="00FB7A60" w:rsidP="00AE7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7090929"/>
      <w:docPartObj>
        <w:docPartGallery w:val="Page Numbers (Bottom of Page)"/>
        <w:docPartUnique/>
      </w:docPartObj>
    </w:sdtPr>
    <w:sdtEndPr/>
    <w:sdtContent>
      <w:p w14:paraId="33077B64" w14:textId="3C033374" w:rsidR="00AE7A8D" w:rsidRDefault="00AE7A8D">
        <w:pPr>
          <w:pStyle w:val="Piedepgina"/>
          <w:jc w:val="right"/>
        </w:pPr>
        <w:r>
          <w:fldChar w:fldCharType="begin"/>
        </w:r>
        <w:r>
          <w:instrText>PAGE   \* MERGEFORMAT</w:instrText>
        </w:r>
        <w:r>
          <w:fldChar w:fldCharType="separate"/>
        </w:r>
        <w:r w:rsidR="001F6D23">
          <w:rPr>
            <w:noProof/>
          </w:rPr>
          <w:t>2</w:t>
        </w:r>
        <w:r>
          <w:fldChar w:fldCharType="end"/>
        </w:r>
      </w:p>
    </w:sdtContent>
  </w:sdt>
  <w:p w14:paraId="14267DCE" w14:textId="77777777" w:rsidR="00AE7A8D" w:rsidRDefault="00AE7A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B25F0" w14:textId="77777777" w:rsidR="00FB7A60" w:rsidRDefault="00FB7A60" w:rsidP="00AE7A8D">
      <w:pPr>
        <w:spacing w:after="0" w:line="240" w:lineRule="auto"/>
      </w:pPr>
      <w:r>
        <w:separator/>
      </w:r>
    </w:p>
  </w:footnote>
  <w:footnote w:type="continuationSeparator" w:id="0">
    <w:p w14:paraId="4F7E9BFB" w14:textId="77777777" w:rsidR="00FB7A60" w:rsidRDefault="00FB7A60" w:rsidP="00AE7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91697"/>
    <w:multiLevelType w:val="hybridMultilevel"/>
    <w:tmpl w:val="69B00B92"/>
    <w:lvl w:ilvl="0" w:tplc="0C0A000F">
      <w:start w:val="1"/>
      <w:numFmt w:val="decimal"/>
      <w:lvlText w:val="%1."/>
      <w:lvlJc w:val="left"/>
      <w:pPr>
        <w:ind w:left="1428" w:hanging="360"/>
      </w:pPr>
      <w:rPr>
        <w:rFont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15:restartNumberingAfterBreak="0">
    <w:nsid w:val="48C14D69"/>
    <w:multiLevelType w:val="hybridMultilevel"/>
    <w:tmpl w:val="9D6016D8"/>
    <w:lvl w:ilvl="0" w:tplc="0C0A000F">
      <w:start w:val="1"/>
      <w:numFmt w:val="decimal"/>
      <w:lvlText w:val="%1."/>
      <w:lvlJc w:val="left"/>
      <w:pPr>
        <w:ind w:left="1428" w:hanging="360"/>
      </w:pPr>
    </w:lvl>
    <w:lvl w:ilvl="1" w:tplc="0C0A0001">
      <w:start w:val="1"/>
      <w:numFmt w:val="bullet"/>
      <w:lvlText w:val=""/>
      <w:lvlJc w:val="left"/>
      <w:pPr>
        <w:ind w:left="2148" w:hanging="360"/>
      </w:pPr>
      <w:rPr>
        <w:rFonts w:ascii="Symbol" w:hAnsi="Symbol" w:hint="default"/>
      </w:r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 w15:restartNumberingAfterBreak="0">
    <w:nsid w:val="4A9B5435"/>
    <w:multiLevelType w:val="hybridMultilevel"/>
    <w:tmpl w:val="893068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3692029"/>
    <w:multiLevelType w:val="hybridMultilevel"/>
    <w:tmpl w:val="03845CF4"/>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5FE526D8"/>
    <w:multiLevelType w:val="hybridMultilevel"/>
    <w:tmpl w:val="4DE005A6"/>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44F530C"/>
    <w:multiLevelType w:val="hybridMultilevel"/>
    <w:tmpl w:val="ED267DC6"/>
    <w:lvl w:ilvl="0" w:tplc="0C0A0011">
      <w:start w:val="1"/>
      <w:numFmt w:val="decimal"/>
      <w:lvlText w:val="%1)"/>
      <w:lvlJc w:val="left"/>
      <w:pPr>
        <w:ind w:left="720" w:hanging="360"/>
      </w:pPr>
      <w:rPr>
        <w:rFonts w:hint="default"/>
      </w:rPr>
    </w:lvl>
    <w:lvl w:ilvl="1" w:tplc="0C0A0001">
      <w:start w:val="1"/>
      <w:numFmt w:val="bullet"/>
      <w:lvlText w:val=""/>
      <w:lvlJc w:val="left"/>
      <w:pPr>
        <w:ind w:left="720" w:hanging="360"/>
      </w:pPr>
      <w:rPr>
        <w:rFonts w:ascii="Symbol" w:hAnsi="Symbol" w:hint="default"/>
      </w:rPr>
    </w:lvl>
    <w:lvl w:ilvl="2" w:tplc="0C0A0001">
      <w:start w:val="1"/>
      <w:numFmt w:val="bullet"/>
      <w:lvlText w:val=""/>
      <w:lvlJc w:val="left"/>
      <w:pPr>
        <w:ind w:left="720" w:hanging="36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BD7"/>
    <w:rsid w:val="001F6D23"/>
    <w:rsid w:val="00203012"/>
    <w:rsid w:val="00306A62"/>
    <w:rsid w:val="0037634D"/>
    <w:rsid w:val="003B1842"/>
    <w:rsid w:val="00406B4F"/>
    <w:rsid w:val="00417FA9"/>
    <w:rsid w:val="004D7D47"/>
    <w:rsid w:val="0057028F"/>
    <w:rsid w:val="005B07CD"/>
    <w:rsid w:val="005F5C89"/>
    <w:rsid w:val="0061439F"/>
    <w:rsid w:val="006D08C1"/>
    <w:rsid w:val="007B305F"/>
    <w:rsid w:val="007E6057"/>
    <w:rsid w:val="00804BD7"/>
    <w:rsid w:val="00863F34"/>
    <w:rsid w:val="008E5115"/>
    <w:rsid w:val="00907502"/>
    <w:rsid w:val="00AE7A8D"/>
    <w:rsid w:val="00CA0442"/>
    <w:rsid w:val="00DD6D59"/>
    <w:rsid w:val="00E330B5"/>
    <w:rsid w:val="00FB7A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B6AEA"/>
  <w15:chartTrackingRefBased/>
  <w15:docId w15:val="{91ECD45F-EAF7-473E-8D4F-EAC326DE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04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4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4B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4B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4B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4B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4B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4B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4B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4B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4B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4B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4B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4B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4B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4B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4B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4BD7"/>
    <w:rPr>
      <w:rFonts w:eastAsiaTheme="majorEastAsia" w:cstheme="majorBidi"/>
      <w:color w:val="272727" w:themeColor="text1" w:themeTint="D8"/>
    </w:rPr>
  </w:style>
  <w:style w:type="paragraph" w:styleId="Ttulo">
    <w:name w:val="Title"/>
    <w:basedOn w:val="Normal"/>
    <w:next w:val="Normal"/>
    <w:link w:val="TtuloCar"/>
    <w:uiPriority w:val="10"/>
    <w:qFormat/>
    <w:rsid w:val="00804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4B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4B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4B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4BD7"/>
    <w:pPr>
      <w:spacing w:before="160"/>
      <w:jc w:val="center"/>
    </w:pPr>
    <w:rPr>
      <w:i/>
      <w:iCs/>
      <w:color w:val="404040" w:themeColor="text1" w:themeTint="BF"/>
    </w:rPr>
  </w:style>
  <w:style w:type="character" w:customStyle="1" w:styleId="CitaCar">
    <w:name w:val="Cita Car"/>
    <w:basedOn w:val="Fuentedeprrafopredeter"/>
    <w:link w:val="Cita"/>
    <w:uiPriority w:val="29"/>
    <w:rsid w:val="00804BD7"/>
    <w:rPr>
      <w:i/>
      <w:iCs/>
      <w:color w:val="404040" w:themeColor="text1" w:themeTint="BF"/>
    </w:rPr>
  </w:style>
  <w:style w:type="paragraph" w:styleId="Prrafodelista">
    <w:name w:val="List Paragraph"/>
    <w:basedOn w:val="Normal"/>
    <w:uiPriority w:val="34"/>
    <w:qFormat/>
    <w:rsid w:val="00804BD7"/>
    <w:pPr>
      <w:ind w:left="720"/>
      <w:contextualSpacing/>
    </w:pPr>
  </w:style>
  <w:style w:type="character" w:styleId="nfasisintenso">
    <w:name w:val="Intense Emphasis"/>
    <w:basedOn w:val="Fuentedeprrafopredeter"/>
    <w:uiPriority w:val="21"/>
    <w:qFormat/>
    <w:rsid w:val="00804BD7"/>
    <w:rPr>
      <w:i/>
      <w:iCs/>
      <w:color w:val="0F4761" w:themeColor="accent1" w:themeShade="BF"/>
    </w:rPr>
  </w:style>
  <w:style w:type="paragraph" w:styleId="Citadestacada">
    <w:name w:val="Intense Quote"/>
    <w:basedOn w:val="Normal"/>
    <w:next w:val="Normal"/>
    <w:link w:val="CitadestacadaCar"/>
    <w:uiPriority w:val="30"/>
    <w:qFormat/>
    <w:rsid w:val="00804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4BD7"/>
    <w:rPr>
      <w:i/>
      <w:iCs/>
      <w:color w:val="0F4761" w:themeColor="accent1" w:themeShade="BF"/>
    </w:rPr>
  </w:style>
  <w:style w:type="character" w:styleId="Referenciaintensa">
    <w:name w:val="Intense Reference"/>
    <w:basedOn w:val="Fuentedeprrafopredeter"/>
    <w:uiPriority w:val="32"/>
    <w:qFormat/>
    <w:rsid w:val="00804BD7"/>
    <w:rPr>
      <w:b/>
      <w:bCs/>
      <w:smallCaps/>
      <w:color w:val="0F4761" w:themeColor="accent1" w:themeShade="BF"/>
      <w:spacing w:val="5"/>
    </w:rPr>
  </w:style>
  <w:style w:type="paragraph" w:customStyle="1" w:styleId="cs95e872d0">
    <w:name w:val="cs95e872d0"/>
    <w:basedOn w:val="Normal"/>
    <w:rsid w:val="00804BD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csb59941d2">
    <w:name w:val="csb59941d2"/>
    <w:basedOn w:val="Fuentedeprrafopredeter"/>
    <w:rsid w:val="00804BD7"/>
  </w:style>
  <w:style w:type="character" w:styleId="Textoennegrita">
    <w:name w:val="Strong"/>
    <w:basedOn w:val="Fuentedeprrafopredeter"/>
    <w:uiPriority w:val="22"/>
    <w:qFormat/>
    <w:rsid w:val="00804BD7"/>
    <w:rPr>
      <w:b/>
      <w:bCs/>
    </w:rPr>
  </w:style>
  <w:style w:type="paragraph" w:styleId="Encabezado">
    <w:name w:val="header"/>
    <w:basedOn w:val="Normal"/>
    <w:link w:val="EncabezadoCar"/>
    <w:uiPriority w:val="99"/>
    <w:unhideWhenUsed/>
    <w:rsid w:val="00AE7A8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7A8D"/>
  </w:style>
  <w:style w:type="paragraph" w:styleId="Piedepgina">
    <w:name w:val="footer"/>
    <w:basedOn w:val="Normal"/>
    <w:link w:val="PiedepginaCar"/>
    <w:uiPriority w:val="99"/>
    <w:unhideWhenUsed/>
    <w:rsid w:val="00AE7A8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611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826</Words>
  <Characters>4547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Castro</dc:creator>
  <cp:keywords/>
  <dc:description/>
  <cp:lastModifiedBy>Mayte</cp:lastModifiedBy>
  <cp:revision>4</cp:revision>
  <cp:lastPrinted>2024-07-03T06:46:00Z</cp:lastPrinted>
  <dcterms:created xsi:type="dcterms:W3CDTF">2024-07-03T07:04:00Z</dcterms:created>
  <dcterms:modified xsi:type="dcterms:W3CDTF">2024-07-04T09:23:00Z</dcterms:modified>
</cp:coreProperties>
</file>